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6f50528aecc234ddf61f4972a7ff3b1235a7"/>
    <w:p>
      <w:pPr>
        <w:pStyle w:val="Heading3"/>
      </w:pPr>
      <w:r>
        <w:t xml:space="preserve">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С 1 марта 2023 года вступает в действие статья 4 Федерального закона 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</w:p>
    <w:p>
      <w:pPr>
        <w:pStyle w:val="BodyText"/>
      </w:pP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По новым нормам сведения из ЕГРН будут содержать персональные данные собственника только с его согласия.</w:t>
      </w:r>
      <w:r>
        <w:t xml:space="preserve"> </w:t>
      </w:r>
      <w:r>
        <w:t xml:space="preserve">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</w:p>
    <w:p>
      <w:pPr>
        <w:pStyle w:val="BodyText"/>
      </w:pP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 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http://ryazansky.mos.ru/rosreestr/detail/11510665.html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510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510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2025-02-17T18:07:48Z</dcterms:created>
  <dcterms:modified xsi:type="dcterms:W3CDTF">2025-02-17T18:07:48Z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